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3DF8" w14:textId="77777777" w:rsidR="00A56D1A" w:rsidRDefault="00A56D1A" w:rsidP="00A56D1A">
      <w:pPr>
        <w:pStyle w:val="Heading1"/>
        <w:framePr w:wrap="around" w:vAnchor="text" w:hAnchor="page" w:x="1720" w:y="170"/>
        <w:ind w:left="-5"/>
        <w:suppressOverlap/>
      </w:pPr>
      <w:bookmarkStart w:id="0" w:name="_GoBack"/>
      <w:bookmarkEnd w:id="0"/>
      <w:r>
        <w:t>Особенности продукта</w:t>
      </w:r>
    </w:p>
    <w:p w14:paraId="4F5E0D03" w14:textId="77777777" w:rsidR="00A56D1A" w:rsidRDefault="00A56D1A" w:rsidP="00A56D1A">
      <w:pPr>
        <w:framePr w:wrap="around" w:vAnchor="text" w:hAnchor="page" w:x="1720" w:y="170"/>
        <w:spacing w:after="0" w:line="259" w:lineRule="auto"/>
        <w:ind w:left="175" w:firstLine="0"/>
        <w:suppressOverlap/>
      </w:pPr>
      <w:r>
        <w:t xml:space="preserve"> </w:t>
      </w:r>
    </w:p>
    <w:p w14:paraId="361E5DE4" w14:textId="77777777" w:rsidR="00A56D1A" w:rsidRDefault="00A56D1A" w:rsidP="00A56D1A">
      <w:pPr>
        <w:framePr w:wrap="around" w:vAnchor="text" w:hAnchor="page" w:x="1720" w:y="170"/>
        <w:numPr>
          <w:ilvl w:val="0"/>
          <w:numId w:val="1"/>
        </w:numPr>
        <w:spacing w:after="0" w:line="239" w:lineRule="auto"/>
        <w:ind w:left="177" w:hanging="142"/>
        <w:suppressOverlap/>
      </w:pPr>
      <w:r>
        <w:t xml:space="preserve">Легко устанавливаются с помощью обычных инструментов. </w:t>
      </w:r>
    </w:p>
    <w:p w14:paraId="4604C3A0" w14:textId="77777777" w:rsidR="00A56D1A" w:rsidRDefault="00A56D1A" w:rsidP="00A56D1A">
      <w:pPr>
        <w:framePr w:wrap="around" w:vAnchor="text" w:hAnchor="page" w:x="1720" w:y="170"/>
        <w:numPr>
          <w:ilvl w:val="0"/>
          <w:numId w:val="1"/>
        </w:numPr>
        <w:spacing w:after="0" w:line="241" w:lineRule="auto"/>
        <w:ind w:left="177" w:hanging="142"/>
        <w:suppressOverlap/>
      </w:pPr>
      <w:r>
        <w:t xml:space="preserve">Легкие, удобно работать, резать и придавать нужную форму. </w:t>
      </w:r>
    </w:p>
    <w:p w14:paraId="3FD1BC1F" w14:textId="77777777" w:rsidR="00A56D1A" w:rsidRDefault="00A56D1A" w:rsidP="00A56D1A">
      <w:pPr>
        <w:framePr w:wrap="around" w:vAnchor="text" w:hAnchor="page" w:x="1720" w:y="170"/>
        <w:numPr>
          <w:ilvl w:val="0"/>
          <w:numId w:val="1"/>
        </w:numPr>
        <w:spacing w:after="0" w:line="240" w:lineRule="auto"/>
        <w:ind w:left="177" w:hanging="142"/>
        <w:suppressOverlap/>
      </w:pPr>
      <w:r>
        <w:t xml:space="preserve">Легко крепить, достаточно пробойника под болтовое соединение или дрели для сверления отверстий. </w:t>
      </w:r>
    </w:p>
    <w:p w14:paraId="6C2AD9C9" w14:textId="77777777" w:rsidR="00A56D1A" w:rsidRDefault="00A56D1A" w:rsidP="00A56D1A">
      <w:pPr>
        <w:framePr w:wrap="around" w:vAnchor="text" w:hAnchor="page" w:x="1720" w:y="170"/>
        <w:spacing w:after="0" w:line="239" w:lineRule="auto"/>
        <w:ind w:left="176" w:firstLine="0"/>
        <w:suppressOverlap/>
      </w:pPr>
      <w:r>
        <w:t xml:space="preserve">Используются винты-саморезы или анкерные болты. </w:t>
      </w:r>
    </w:p>
    <w:p w14:paraId="42F1DCC5" w14:textId="7C0F575F" w:rsidR="00A56D1A" w:rsidRDefault="00A56D1A" w:rsidP="00A56D1A">
      <w:pPr>
        <w:framePr w:wrap="around" w:vAnchor="text" w:hAnchor="page" w:x="1720" w:y="170"/>
        <w:numPr>
          <w:ilvl w:val="0"/>
          <w:numId w:val="1"/>
        </w:numPr>
        <w:spacing w:after="0" w:line="241" w:lineRule="auto"/>
        <w:ind w:left="177" w:hanging="142"/>
        <w:suppressOverlap/>
      </w:pPr>
      <w:r>
        <w:t xml:space="preserve">Теплопроводные, позволяют отвести накапливаемое тепло от оборудования. </w:t>
      </w:r>
    </w:p>
    <w:p w14:paraId="06ACCACD" w14:textId="15B219B9" w:rsidR="00A56D1A" w:rsidRDefault="00FA770E" w:rsidP="00A56D1A">
      <w:pPr>
        <w:framePr w:wrap="around" w:vAnchor="text" w:hAnchor="page" w:x="1720" w:y="170"/>
        <w:numPr>
          <w:ilvl w:val="0"/>
          <w:numId w:val="1"/>
        </w:numPr>
        <w:spacing w:after="0" w:line="241" w:lineRule="auto"/>
        <w:ind w:left="177" w:hanging="142"/>
        <w:suppressOverlap/>
      </w:pPr>
      <w:r>
        <w:t>М</w:t>
      </w:r>
      <w:r w:rsidR="00A56D1A">
        <w:t xml:space="preserve">ожно вырезать самые сложные и неправильные формы. </w:t>
      </w:r>
    </w:p>
    <w:p w14:paraId="2DECC748" w14:textId="77777777" w:rsidR="00A56D1A" w:rsidRDefault="00A56D1A" w:rsidP="00A56D1A">
      <w:pPr>
        <w:framePr w:wrap="around" w:vAnchor="text" w:hAnchor="page" w:x="1720" w:y="170"/>
        <w:numPr>
          <w:ilvl w:val="0"/>
          <w:numId w:val="1"/>
        </w:numPr>
        <w:spacing w:after="0" w:line="259" w:lineRule="auto"/>
        <w:ind w:left="177" w:hanging="142"/>
        <w:suppressOverlap/>
      </w:pPr>
      <w:r>
        <w:t xml:space="preserve">Многократное использование </w:t>
      </w:r>
    </w:p>
    <w:p w14:paraId="49A0D766" w14:textId="77777777" w:rsidR="00286E22" w:rsidRDefault="00286E22"/>
    <w:p w14:paraId="3A74374D" w14:textId="77777777" w:rsidR="005020E6" w:rsidRDefault="005020E6" w:rsidP="005020E6">
      <w:pPr>
        <w:spacing w:after="0" w:line="259" w:lineRule="auto"/>
        <w:ind w:left="0" w:firstLine="0"/>
      </w:pPr>
    </w:p>
    <w:p w14:paraId="177A573F" w14:textId="77777777" w:rsidR="005020E6" w:rsidRDefault="005020E6" w:rsidP="005020E6">
      <w:pPr>
        <w:pStyle w:val="Heading1"/>
        <w:ind w:left="-5"/>
      </w:pPr>
      <w:r>
        <w:t xml:space="preserve"> Описание продукта </w:t>
      </w:r>
    </w:p>
    <w:p w14:paraId="7DF7F12E" w14:textId="77321CB3" w:rsidR="005020E6" w:rsidRDefault="005020E6" w:rsidP="005020E6">
      <w:pPr>
        <w:ind w:left="36"/>
      </w:pPr>
      <w:r>
        <w:t xml:space="preserve">Листы композитные 3M™ CS195+ представляют собой единую сложную систему из четырех компонентов –оцинкованной стали, на которую нанесен слой материала на основе акрилового латекса, армированный стальной сеткой. С другой стороны листа сетка закрыта алюминиевой фольгой. </w:t>
      </w:r>
      <w:r w:rsidR="00077D17">
        <w:t>Листы</w:t>
      </w:r>
      <w:r>
        <w:t xml:space="preserve"> легкие и быстро устанавливаются с помощью обычных инструментов.  </w:t>
      </w:r>
    </w:p>
    <w:p w14:paraId="56B53AB3" w14:textId="5A21ADBC" w:rsidR="005020E6" w:rsidRDefault="005020E6" w:rsidP="00B3075C">
      <w:pPr>
        <w:spacing w:after="0" w:line="259" w:lineRule="auto"/>
        <w:ind w:left="1" w:firstLine="0"/>
      </w:pPr>
      <w:r>
        <w:t xml:space="preserve"> </w:t>
      </w:r>
    </w:p>
    <w:p w14:paraId="06533C3A" w14:textId="3D593E42" w:rsidR="005020E6" w:rsidRDefault="005020E6" w:rsidP="005020E6">
      <w:r>
        <w:rPr>
          <w:b/>
          <w:sz w:val="20"/>
        </w:rPr>
        <w:t>Размеры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5020E6">
        <w:t>711,2 мм x 1320,8 мм</w:t>
      </w:r>
    </w:p>
    <w:p w14:paraId="423A3724" w14:textId="265C3D59" w:rsidR="005020E6" w:rsidRDefault="005020E6" w:rsidP="005020E6">
      <w:r w:rsidRPr="005020E6">
        <w:t xml:space="preserve"> </w:t>
      </w:r>
      <w:r w:rsidRPr="005020E6">
        <w:tab/>
      </w:r>
      <w:r>
        <w:tab/>
      </w:r>
      <w:r>
        <w:tab/>
      </w:r>
      <w:r>
        <w:tab/>
      </w:r>
      <w:r w:rsidRPr="005020E6">
        <w:t>609,6 мм x 914,4 мм</w:t>
      </w:r>
    </w:p>
    <w:p w14:paraId="4E623126" w14:textId="459E63D2" w:rsidR="005020E6" w:rsidRDefault="005020E6" w:rsidP="005020E6">
      <w:r w:rsidRPr="005020E6">
        <w:t xml:space="preserve"> </w:t>
      </w:r>
      <w:r w:rsidRPr="005020E6">
        <w:tab/>
      </w:r>
      <w:r>
        <w:tab/>
      </w:r>
      <w:r>
        <w:tab/>
      </w:r>
      <w:r>
        <w:tab/>
      </w:r>
      <w:r w:rsidRPr="005020E6">
        <w:t>914,4 мм x 914,4 мм</w:t>
      </w:r>
    </w:p>
    <w:p w14:paraId="28046D2D" w14:textId="1C63C4F6" w:rsidR="005020E6" w:rsidRDefault="005020E6" w:rsidP="005020E6">
      <w:r w:rsidRPr="005020E6">
        <w:t xml:space="preserve"> </w:t>
      </w:r>
      <w:r w:rsidRPr="005020E6">
        <w:tab/>
      </w:r>
      <w:r>
        <w:tab/>
      </w:r>
      <w:r>
        <w:tab/>
      </w:r>
      <w:r>
        <w:tab/>
      </w:r>
      <w:r w:rsidRPr="005020E6">
        <w:t>914,4 мм x 1,041 мм</w:t>
      </w:r>
    </w:p>
    <w:p w14:paraId="4CDD202D" w14:textId="2AAC4403" w:rsidR="005020E6" w:rsidRDefault="005020E6" w:rsidP="005020E6">
      <w:r w:rsidRPr="005020E6">
        <w:t xml:space="preserve"> </w:t>
      </w:r>
      <w:r w:rsidRPr="005020E6">
        <w:tab/>
      </w:r>
      <w:r>
        <w:tab/>
      </w:r>
      <w:r>
        <w:tab/>
      </w:r>
      <w:r>
        <w:tab/>
      </w:r>
      <w:r w:rsidRPr="005020E6">
        <w:t>406,4 мм x 711,2 мм</w:t>
      </w:r>
    </w:p>
    <w:p w14:paraId="2DB9F58B" w14:textId="77777777" w:rsidR="00B3075C" w:rsidRDefault="00B3075C" w:rsidP="005020E6"/>
    <w:p w14:paraId="3D14CE20" w14:textId="78853E19" w:rsidR="005020E6" w:rsidRPr="00B3075C" w:rsidRDefault="005020E6" w:rsidP="00B3075C">
      <w:pPr>
        <w:spacing w:after="2" w:line="259" w:lineRule="auto"/>
        <w:ind w:left="0" w:firstLine="0"/>
        <w:rPr>
          <w:b/>
          <w:bCs/>
        </w:rPr>
      </w:pPr>
      <w:r>
        <w:rPr>
          <w:b/>
        </w:rPr>
        <w:t xml:space="preserve"> </w:t>
      </w:r>
      <w:r w:rsidRPr="00B3075C">
        <w:rPr>
          <w:b/>
          <w:bCs/>
        </w:rPr>
        <w:t xml:space="preserve">Состав </w:t>
      </w:r>
      <w:r w:rsidRPr="00B3075C">
        <w:rPr>
          <w:b/>
          <w:bCs/>
        </w:rPr>
        <w:tab/>
      </w:r>
    </w:p>
    <w:tbl>
      <w:tblPr>
        <w:tblStyle w:val="TableGrid"/>
        <w:tblpPr w:vertAnchor="text" w:tblpX="82" w:tblpY="201"/>
        <w:tblOverlap w:val="never"/>
        <w:tblW w:w="9214" w:type="dxa"/>
        <w:tblInd w:w="0" w:type="dxa"/>
        <w:tblLook w:val="04A0" w:firstRow="1" w:lastRow="0" w:firstColumn="1" w:lastColumn="0" w:noHBand="0" w:noVBand="1"/>
      </w:tblPr>
      <w:tblGrid>
        <w:gridCol w:w="2165"/>
        <w:gridCol w:w="7049"/>
      </w:tblGrid>
      <w:tr w:rsidR="005020E6" w14:paraId="26CF2919" w14:textId="77777777" w:rsidTr="005020E6">
        <w:trPr>
          <w:trHeight w:val="169"/>
        </w:trPr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46AAE" w14:textId="77777777" w:rsidR="005020E6" w:rsidRDefault="005020E6" w:rsidP="00551DE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Компонент 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89E1" w14:textId="77777777" w:rsidR="005020E6" w:rsidRDefault="005020E6" w:rsidP="00551DE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Толщина </w:t>
            </w:r>
          </w:p>
        </w:tc>
      </w:tr>
      <w:tr w:rsidR="005020E6" w14:paraId="0DE76191" w14:textId="77777777" w:rsidTr="005020E6">
        <w:trPr>
          <w:trHeight w:val="36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BEF" w14:textId="77777777" w:rsidR="005020E6" w:rsidRDefault="005020E6" w:rsidP="005020E6">
            <w:r w:rsidRPr="005020E6">
              <w:t xml:space="preserve">Оцинкованная листовая сталь 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771" w14:textId="77777777" w:rsidR="005020E6" w:rsidRDefault="005020E6" w:rsidP="00551DE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0,0157" + 0,003" (0,399 мм + 0,076 мм) (30 калибр) </w:t>
            </w:r>
          </w:p>
        </w:tc>
      </w:tr>
      <w:tr w:rsidR="005020E6" w14:paraId="07B3BF5B" w14:textId="77777777" w:rsidTr="005020E6">
        <w:trPr>
          <w:trHeight w:val="36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04B" w14:textId="7085F107" w:rsidR="005020E6" w:rsidRDefault="00077D17" w:rsidP="005020E6">
            <w:r>
              <w:t>М</w:t>
            </w:r>
            <w:r w:rsidR="005020E6" w:rsidRPr="005020E6">
              <w:t>атериал на основе акрилового латекса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B98" w14:textId="77777777" w:rsidR="005020E6" w:rsidRDefault="005020E6" w:rsidP="00551DE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0,285" + 0,05" (7,24 мм + 1,27 мм) </w:t>
            </w:r>
          </w:p>
        </w:tc>
      </w:tr>
      <w:tr w:rsidR="005020E6" w14:paraId="6757A4E4" w14:textId="77777777" w:rsidTr="005020E6">
        <w:trPr>
          <w:trHeight w:val="36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977" w14:textId="77777777" w:rsidR="005020E6" w:rsidRDefault="005020E6" w:rsidP="005020E6">
            <w:r w:rsidRPr="005020E6">
              <w:t>С</w:t>
            </w:r>
            <w:r w:rsidR="00817A32">
              <w:t>тальная с</w:t>
            </w:r>
            <w:r w:rsidRPr="005020E6">
              <w:t xml:space="preserve">етка с шестигранными ячейками 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A2F" w14:textId="77777777" w:rsidR="005020E6" w:rsidRDefault="005020E6" w:rsidP="00551DE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20 калибр </w:t>
            </w:r>
          </w:p>
        </w:tc>
      </w:tr>
      <w:tr w:rsidR="005020E6" w14:paraId="4375D578" w14:textId="77777777" w:rsidTr="005020E6">
        <w:trPr>
          <w:trHeight w:val="16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FC9" w14:textId="77777777" w:rsidR="005020E6" w:rsidRDefault="005020E6" w:rsidP="005020E6">
            <w:r w:rsidRPr="005020E6">
              <w:t xml:space="preserve">Алюминиевая фольга 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1DC" w14:textId="77777777" w:rsidR="005020E6" w:rsidRDefault="005020E6" w:rsidP="00551DE6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 xml:space="preserve">0,002" + 0,0002" (0,0508 мм + 0,00508 мм) </w:t>
            </w:r>
          </w:p>
        </w:tc>
      </w:tr>
      <w:tr w:rsidR="005020E6" w14:paraId="6B382089" w14:textId="77777777" w:rsidTr="005020E6">
        <w:trPr>
          <w:trHeight w:val="1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08D" w14:textId="77777777" w:rsidR="005020E6" w:rsidRDefault="005020E6" w:rsidP="005020E6">
            <w:r w:rsidRPr="005020E6">
              <w:t xml:space="preserve">Полная толщина листа          0,303" + 0,054" (7,70 мм + 1,37 мм) </w:t>
            </w:r>
          </w:p>
        </w:tc>
      </w:tr>
    </w:tbl>
    <w:p w14:paraId="63451444" w14:textId="77777777" w:rsidR="005020E6" w:rsidRDefault="005020E6" w:rsidP="00B3075C">
      <w:pPr>
        <w:pStyle w:val="Heading1"/>
        <w:ind w:left="0" w:firstLine="0"/>
      </w:pPr>
      <w:r>
        <w:t xml:space="preserve">Эксплуатационные характеристики </w:t>
      </w:r>
    </w:p>
    <w:p w14:paraId="6C274F24" w14:textId="77777777" w:rsidR="005020E6" w:rsidRDefault="005020E6" w:rsidP="005020E6">
      <w:pPr>
        <w:spacing w:after="0" w:line="259" w:lineRule="auto"/>
        <w:ind w:left="41" w:firstLine="0"/>
      </w:pPr>
      <w:r>
        <w:rPr>
          <w:sz w:val="22"/>
        </w:rPr>
        <w:t xml:space="preserve"> </w:t>
      </w:r>
    </w:p>
    <w:p w14:paraId="30AEFA5A" w14:textId="77777777" w:rsidR="005020E6" w:rsidRDefault="005020E6" w:rsidP="005020E6">
      <w:r w:rsidRPr="005020E6">
        <w:rPr>
          <w:b/>
        </w:rPr>
        <w:t>Обслуживание</w:t>
      </w:r>
      <w:r>
        <w:t xml:space="preserve"> </w:t>
      </w:r>
    </w:p>
    <w:p w14:paraId="43C718CD" w14:textId="7928829F" w:rsidR="005020E6" w:rsidRDefault="005020E6" w:rsidP="005020E6">
      <w:r>
        <w:t>Листы 3M™ CS-195+ стабильны в течение неопределенного периода времени и не требуют обслуживания. Листы композитные 3M™ CS-195+ должны храниться в оригинальных транспорт</w:t>
      </w:r>
      <w:r w:rsidR="00A33B7F">
        <w:t>ных контейнерах</w:t>
      </w:r>
      <w:r>
        <w:t>. Не подвергать материал замерзанию или нагреву выше 86°C.</w:t>
      </w:r>
      <w:r>
        <w:tab/>
      </w:r>
    </w:p>
    <w:p w14:paraId="480F3C9A" w14:textId="77777777" w:rsidR="005020E6" w:rsidRDefault="005020E6" w:rsidP="005020E6">
      <w:pPr>
        <w:spacing w:after="5"/>
        <w:ind w:left="-5"/>
      </w:pPr>
      <w:r>
        <w:rPr>
          <w:b/>
          <w:sz w:val="14"/>
        </w:rPr>
        <w:t>Гарантия и ограничения.</w:t>
      </w:r>
      <w:r>
        <w:rPr>
          <w:sz w:val="14"/>
        </w:rPr>
        <w:t xml:space="preserve"> На продукцию действует гарантия на отсутствие дефектов материалов и сборки сроком 90 дней с даты приобретения. КОМПАНИЯ 3M НЕ ПРЕДОСТАВЛЯЕТ НИКАКИХ ДРУГИХ ВЫРАЖЕННЫХ ИЛИ КОСВЕННЫХ ГАРАНТИЙ, ВКЛЮЧАЯ ЛЮБЫЕ ПОДРАЗУМЕВАЕМЫЕ ГАРАНТИИ ПРИГОДНОСТИ ДЛЯ ПРОДАЖИ И СООТВЕТСТВИЯ ОПРЕДЕЛЕННЫМ ЦЕЛЯМ. Пользователь несет ответственность и определяет самостоятельно пригодность продукта 3М для данной области использования. Если продукт 3М не соответствует условиям настоящей гарантии, единственной и исключительной компенсацией для пользователя будет, по выбору 3М, замена продукта или возмещение его покупной стоимости. </w:t>
      </w:r>
      <w:r>
        <w:rPr>
          <w:b/>
          <w:sz w:val="14"/>
        </w:rPr>
        <w:t>Ограничение ответственности.</w:t>
      </w:r>
      <w:r>
        <w:rPr>
          <w:sz w:val="14"/>
        </w:rPr>
        <w:t xml:space="preserve"> За исключением случаев, определенных законодательством, компания 3M не несет ответственность за прямой, косвенный, побочный, случайный или фактический ущерб, независимо от действующего законодательства, включая гарантию, контракт, небрежность или безусловные обязательства. 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2"/>
      </w:tblGrid>
      <w:tr w:rsidR="005020E6" w:rsidRPr="007B1B41" w14:paraId="39F5E1BD" w14:textId="77777777" w:rsidTr="00551DE6">
        <w:trPr>
          <w:trHeight w:val="7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50" w:type="dxa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4728"/>
              <w:gridCol w:w="4522"/>
            </w:tblGrid>
            <w:tr w:rsidR="005020E6" w14:paraId="41C3BBBC" w14:textId="77777777" w:rsidTr="005020E6">
              <w:trPr>
                <w:trHeight w:val="1792"/>
              </w:trPr>
              <w:tc>
                <w:tcPr>
                  <w:tcW w:w="4728" w:type="dxa"/>
                  <w:tcBorders>
                    <w:top w:val="nil"/>
                    <w:left w:val="nil"/>
                    <w:bottom w:val="nil"/>
                  </w:tcBorders>
                </w:tcPr>
                <w:p w14:paraId="0B94A868" w14:textId="77777777" w:rsidR="005020E6" w:rsidRPr="005020E6" w:rsidRDefault="005020E6" w:rsidP="005020E6">
                  <w:r w:rsidRPr="005020E6">
                    <w:t>3M Россия</w:t>
                  </w:r>
                  <w:r w:rsidRPr="005020E6">
                    <w:br/>
                    <w:t xml:space="preserve">Отдел </w:t>
                  </w:r>
                  <w:r>
                    <w:t>промышленных клеев и</w:t>
                  </w:r>
                  <w:r w:rsidRPr="005020E6">
                    <w:t xml:space="preserve"> клейких лент</w:t>
                  </w:r>
                </w:p>
                <w:p w14:paraId="5F5CAD30" w14:textId="77777777" w:rsidR="005020E6" w:rsidRPr="005020E6" w:rsidRDefault="005020E6" w:rsidP="005020E6">
                  <w:proofErr w:type="gramStart"/>
                  <w:r>
                    <w:t>Тел</w:t>
                  </w:r>
                  <w:r w:rsidRPr="005020E6">
                    <w:t>:  +</w:t>
                  </w:r>
                  <w:proofErr w:type="gramEnd"/>
                  <w:r w:rsidRPr="005020E6">
                    <w:t>7(495) 784 7474</w:t>
                  </w:r>
                </w:p>
                <w:p w14:paraId="016CEDCC" w14:textId="77777777" w:rsidR="005020E6" w:rsidRDefault="005020E6" w:rsidP="005020E6">
                  <w:pPr>
                    <w:rPr>
                      <w:b/>
                      <w:sz w:val="16"/>
                    </w:rPr>
                  </w:pPr>
                  <w:proofErr w:type="gramStart"/>
                  <w:r>
                    <w:t>Факс</w:t>
                  </w:r>
                  <w:r w:rsidRPr="005020E6">
                    <w:t>:  +</w:t>
                  </w:r>
                  <w:proofErr w:type="gramEnd"/>
                  <w:r w:rsidRPr="005020E6">
                    <w:t>7(495) 784 7475</w:t>
                  </w:r>
                </w:p>
              </w:tc>
              <w:tc>
                <w:tcPr>
                  <w:tcW w:w="4522" w:type="dxa"/>
                </w:tcPr>
                <w:p w14:paraId="4AEB590A" w14:textId="77777777" w:rsidR="005020E6" w:rsidRDefault="005020E6" w:rsidP="00551DE6">
                  <w:pPr>
                    <w:ind w:right="-426" w:hanging="817"/>
                    <w:rPr>
                      <w:b/>
                    </w:rPr>
                  </w:pPr>
                </w:p>
              </w:tc>
            </w:tr>
          </w:tbl>
          <w:p w14:paraId="0D05FE35" w14:textId="77777777" w:rsidR="005020E6" w:rsidRPr="007B1B41" w:rsidRDefault="005020E6" w:rsidP="00551DE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28E1E920" w14:textId="77777777" w:rsidR="005020E6" w:rsidRDefault="005020E6" w:rsidP="005020E6"/>
    <w:sectPr w:rsidR="00502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0CA2" w14:textId="77777777" w:rsidR="00742A53" w:rsidRDefault="00742A53" w:rsidP="00A56D1A">
      <w:pPr>
        <w:spacing w:after="0" w:line="240" w:lineRule="auto"/>
      </w:pPr>
      <w:r>
        <w:separator/>
      </w:r>
    </w:p>
  </w:endnote>
  <w:endnote w:type="continuationSeparator" w:id="0">
    <w:p w14:paraId="31263963" w14:textId="77777777" w:rsidR="00742A53" w:rsidRDefault="00742A53" w:rsidP="00A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F2EA" w14:textId="77777777" w:rsidR="00B3075C" w:rsidRDefault="00B30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7F03" w14:textId="77777777" w:rsidR="00B3075C" w:rsidRDefault="00B30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03CE" w14:textId="77777777" w:rsidR="00B3075C" w:rsidRDefault="00B30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5BF4" w14:textId="77777777" w:rsidR="00742A53" w:rsidRDefault="00742A53" w:rsidP="00A56D1A">
      <w:pPr>
        <w:spacing w:after="0" w:line="240" w:lineRule="auto"/>
      </w:pPr>
      <w:r>
        <w:separator/>
      </w:r>
    </w:p>
  </w:footnote>
  <w:footnote w:type="continuationSeparator" w:id="0">
    <w:p w14:paraId="6BE1C7AA" w14:textId="77777777" w:rsidR="00742A53" w:rsidRDefault="00742A53" w:rsidP="00A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1E5C" w14:textId="77777777" w:rsidR="00B3075C" w:rsidRDefault="00B30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59CD" w14:textId="77777777" w:rsidR="00A56D1A" w:rsidRDefault="00A56D1A" w:rsidP="00A56D1A">
    <w:pPr>
      <w:pStyle w:val="Header"/>
    </w:pPr>
    <w:r>
      <w:rPr>
        <w:rFonts w:ascii="Times New Roman" w:hAnsi="Times New Roman"/>
        <w:noProof/>
        <w:color w:val="FF0000"/>
        <w:spacing w:val="20"/>
        <w:sz w:val="20"/>
      </w:rPr>
      <w:drawing>
        <wp:inline distT="0" distB="0" distL="0" distR="0" wp14:anchorId="5A218F02" wp14:editId="547814C5">
          <wp:extent cx="566420" cy="354965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FD361" w14:textId="222806FF" w:rsidR="00A56D1A" w:rsidRPr="00A56D1A" w:rsidRDefault="00A56D1A" w:rsidP="00A56D1A">
    <w:pPr>
      <w:pStyle w:val="Header"/>
      <w:rPr>
        <w:sz w:val="44"/>
      </w:rPr>
    </w:pPr>
    <w:r w:rsidRPr="00A56D1A">
      <w:rPr>
        <w:sz w:val="44"/>
        <w:lang w:val="en-US"/>
      </w:rPr>
      <w:t xml:space="preserve">CS 195+ </w:t>
    </w:r>
    <w:r w:rsidRPr="00A56D1A">
      <w:rPr>
        <w:sz w:val="44"/>
      </w:rPr>
      <w:t>Композитный лист</w:t>
    </w:r>
  </w:p>
  <w:p w14:paraId="188D1C23" w14:textId="77777777" w:rsidR="00A56D1A" w:rsidRDefault="00A56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B545" w14:textId="77777777" w:rsidR="00B3075C" w:rsidRDefault="00B30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29CA"/>
    <w:multiLevelType w:val="hybridMultilevel"/>
    <w:tmpl w:val="D554B276"/>
    <w:lvl w:ilvl="0" w:tplc="CB6C7EBE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5C2B72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8491DC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980C4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9279EE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521796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4E291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A6900C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C64224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E6"/>
    <w:rsid w:val="00077D17"/>
    <w:rsid w:val="000C610E"/>
    <w:rsid w:val="00286E22"/>
    <w:rsid w:val="00290846"/>
    <w:rsid w:val="00344CB9"/>
    <w:rsid w:val="00425F52"/>
    <w:rsid w:val="005020E6"/>
    <w:rsid w:val="005D3E75"/>
    <w:rsid w:val="006B67EA"/>
    <w:rsid w:val="00742A53"/>
    <w:rsid w:val="00817A32"/>
    <w:rsid w:val="009131C8"/>
    <w:rsid w:val="00A33B7F"/>
    <w:rsid w:val="00A56D1A"/>
    <w:rsid w:val="00A96291"/>
    <w:rsid w:val="00B3075C"/>
    <w:rsid w:val="00D3515F"/>
    <w:rsid w:val="00F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533B9"/>
  <w15:chartTrackingRefBased/>
  <w15:docId w15:val="{AF431A02-CB35-4DE9-AC0F-4D5369A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Cyr" w:eastAsiaTheme="minorHAnsi" w:hAnsi="HelveticaNeueCyr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E6"/>
    <w:pPr>
      <w:spacing w:after="4" w:line="250" w:lineRule="auto"/>
      <w:ind w:left="10" w:hanging="10"/>
    </w:pPr>
    <w:rPr>
      <w:rFonts w:ascii="Arial" w:eastAsia="Arial" w:hAnsi="Arial" w:cs="Arial"/>
      <w:color w:val="000000"/>
      <w:sz w:val="18"/>
      <w:szCs w:val="22"/>
      <w:lang w:eastAsia="ru-RU"/>
    </w:rPr>
  </w:style>
  <w:style w:type="paragraph" w:styleId="Heading1">
    <w:name w:val="heading 1"/>
    <w:next w:val="Normal"/>
    <w:link w:val="Heading1Char"/>
    <w:uiPriority w:val="9"/>
    <w:unhideWhenUsed/>
    <w:qFormat/>
    <w:rsid w:val="005020E6"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0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0E6"/>
    <w:rPr>
      <w:rFonts w:ascii="Arial" w:eastAsia="Arial" w:hAnsi="Arial" w:cs="Arial"/>
      <w:b/>
      <w:color w:val="000000"/>
      <w:sz w:val="20"/>
      <w:szCs w:val="22"/>
      <w:lang w:eastAsia="ru-RU"/>
    </w:rPr>
  </w:style>
  <w:style w:type="paragraph" w:styleId="ListParagraph">
    <w:name w:val="List Paragraph"/>
    <w:basedOn w:val="Normal"/>
    <w:uiPriority w:val="34"/>
    <w:qFormat/>
    <w:rsid w:val="005020E6"/>
    <w:pPr>
      <w:ind w:left="720"/>
      <w:contextualSpacing/>
    </w:pPr>
  </w:style>
  <w:style w:type="table" w:customStyle="1" w:styleId="TableGrid">
    <w:name w:val="TableGrid"/>
    <w:rsid w:val="005020E6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020E6"/>
    <w:pPr>
      <w:tabs>
        <w:tab w:val="left" w:pos="6480"/>
      </w:tabs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Angsana New"/>
      <w:color w:val="auto"/>
      <w:szCs w:val="18"/>
      <w:lang w:eastAsia="ja-JP" w:bidi="th-TH"/>
    </w:rPr>
  </w:style>
  <w:style w:type="character" w:customStyle="1" w:styleId="BodyTextChar">
    <w:name w:val="Body Text Char"/>
    <w:basedOn w:val="DefaultParagraphFont"/>
    <w:link w:val="BodyText"/>
    <w:rsid w:val="005020E6"/>
    <w:rPr>
      <w:rFonts w:ascii="Times New Roman" w:eastAsia="Times New Roman" w:hAnsi="Times New Roman" w:cs="Angsana New"/>
      <w:sz w:val="18"/>
      <w:szCs w:val="18"/>
      <w:lang w:eastAsia="ja-JP" w:bidi="th-TH"/>
    </w:rPr>
  </w:style>
  <w:style w:type="paragraph" w:styleId="Header">
    <w:name w:val="header"/>
    <w:basedOn w:val="Normal"/>
    <w:link w:val="HeaderChar"/>
    <w:uiPriority w:val="99"/>
    <w:unhideWhenUsed/>
    <w:rsid w:val="00A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D1A"/>
    <w:rPr>
      <w:rFonts w:ascii="Arial" w:eastAsia="Arial" w:hAnsi="Arial" w:cs="Arial"/>
      <w:color w:val="000000"/>
      <w:sz w:val="18"/>
      <w:szCs w:val="22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1A"/>
    <w:rPr>
      <w:rFonts w:ascii="Arial" w:eastAsia="Arial" w:hAnsi="Arial" w:cs="Arial"/>
      <w:color w:val="000000"/>
      <w:sz w:val="1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E40E-9501-492A-86DD-12CEE252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Sokolov</dc:creator>
  <cp:keywords/>
  <dc:description/>
  <cp:lastModifiedBy>Polina Sinitsyna CW</cp:lastModifiedBy>
  <cp:revision>2</cp:revision>
  <dcterms:created xsi:type="dcterms:W3CDTF">2020-08-07T11:15:00Z</dcterms:created>
  <dcterms:modified xsi:type="dcterms:W3CDTF">2020-08-07T11:15:00Z</dcterms:modified>
</cp:coreProperties>
</file>